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75D92" w14:textId="7BF982BE" w:rsidR="009E116A" w:rsidRDefault="009E116A" w:rsidP="009E116A">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Pr>
          <w:rFonts w:ascii="Lato" w:eastAsia="Times New Roman" w:hAnsi="Lato" w:cs="Times New Roman"/>
          <w:color w:val="CC3300"/>
          <w:kern w:val="36"/>
          <w:sz w:val="36"/>
          <w:szCs w:val="36"/>
          <w:lang w:eastAsia="fr-BE"/>
          <w14:ligatures w14:val="none"/>
        </w:rPr>
        <w:t>L</w:t>
      </w:r>
      <w:r w:rsidRPr="009E116A">
        <w:rPr>
          <w:rFonts w:ascii="Lato" w:eastAsia="Times New Roman" w:hAnsi="Lato" w:cs="Times New Roman"/>
          <w:color w:val="CC3300"/>
          <w:kern w:val="36"/>
          <w:sz w:val="36"/>
          <w:szCs w:val="36"/>
          <w:lang w:eastAsia="fr-BE"/>
          <w14:ligatures w14:val="none"/>
        </w:rPr>
        <w:t xml:space="preserve">e </w:t>
      </w:r>
      <w:proofErr w:type="spellStart"/>
      <w:r w:rsidRPr="009E116A">
        <w:rPr>
          <w:rFonts w:ascii="Lato" w:eastAsia="Times New Roman" w:hAnsi="Lato" w:cs="Times New Roman"/>
          <w:color w:val="CC3300"/>
          <w:kern w:val="36"/>
          <w:sz w:val="36"/>
          <w:szCs w:val="36"/>
          <w:lang w:eastAsia="fr-BE"/>
          <w14:ligatures w14:val="none"/>
        </w:rPr>
        <w:t>ferro</w:t>
      </w:r>
      <w:proofErr w:type="spellEnd"/>
      <w:r w:rsidRPr="009E116A">
        <w:rPr>
          <w:rFonts w:ascii="Lato" w:eastAsia="Times New Roman" w:hAnsi="Lato" w:cs="Times New Roman"/>
          <w:color w:val="CC3300"/>
          <w:kern w:val="36"/>
          <w:sz w:val="36"/>
          <w:szCs w:val="36"/>
          <w:lang w:eastAsia="fr-BE"/>
          <w14:ligatures w14:val="none"/>
        </w:rPr>
        <w:t>-tungstène fait des étincelles</w:t>
      </w:r>
    </w:p>
    <w:p w14:paraId="28208AB9" w14:textId="77777777" w:rsidR="009E116A" w:rsidRPr="009E116A" w:rsidRDefault="009E116A" w:rsidP="009E116A">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p>
    <w:p w14:paraId="7C1F5436" w14:textId="77777777" w:rsidR="009E116A" w:rsidRPr="009E116A" w:rsidRDefault="009E116A" w:rsidP="009E116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E116A">
        <w:rPr>
          <w:rFonts w:ascii="Lato" w:eastAsia="Times New Roman" w:hAnsi="Lato" w:cs="Times New Roman"/>
          <w:b/>
          <w:bCs/>
          <w:color w:val="000000"/>
          <w:kern w:val="0"/>
          <w:sz w:val="23"/>
          <w:szCs w:val="23"/>
          <w:lang w:eastAsia="fr-BE"/>
          <w14:ligatures w14:val="none"/>
        </w:rPr>
        <w:t xml:space="preserve">Tendances divergentes cette semaine sur le marché des métaux mineurs. Alors que l’antimoine semble plongé dans un marasme qui devrait s’inscrire dans la durée, le </w:t>
      </w:r>
      <w:proofErr w:type="spellStart"/>
      <w:r w:rsidRPr="009E116A">
        <w:rPr>
          <w:rFonts w:ascii="Lato" w:eastAsia="Times New Roman" w:hAnsi="Lato" w:cs="Times New Roman"/>
          <w:b/>
          <w:bCs/>
          <w:color w:val="000000"/>
          <w:kern w:val="0"/>
          <w:sz w:val="23"/>
          <w:szCs w:val="23"/>
          <w:lang w:eastAsia="fr-BE"/>
          <w14:ligatures w14:val="none"/>
        </w:rPr>
        <w:t>ferro</w:t>
      </w:r>
      <w:proofErr w:type="spellEnd"/>
      <w:r w:rsidRPr="009E116A">
        <w:rPr>
          <w:rFonts w:ascii="Lato" w:eastAsia="Times New Roman" w:hAnsi="Lato" w:cs="Times New Roman"/>
          <w:b/>
          <w:bCs/>
          <w:color w:val="000000"/>
          <w:kern w:val="0"/>
          <w:sz w:val="23"/>
          <w:szCs w:val="23"/>
          <w:lang w:eastAsia="fr-BE"/>
          <w14:ligatures w14:val="none"/>
        </w:rPr>
        <w:t>-tungstène caracole à des niveaux records.</w:t>
      </w:r>
    </w:p>
    <w:p w14:paraId="58EE94C6" w14:textId="77777777" w:rsidR="009E116A" w:rsidRPr="009E116A" w:rsidRDefault="009E116A" w:rsidP="009E116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E116A">
        <w:rPr>
          <w:rFonts w:ascii="Lato" w:eastAsia="Times New Roman" w:hAnsi="Lato" w:cs="Times New Roman"/>
          <w:color w:val="000000"/>
          <w:kern w:val="0"/>
          <w:sz w:val="23"/>
          <w:szCs w:val="23"/>
          <w:lang w:eastAsia="fr-BE"/>
          <w14:ligatures w14:val="none"/>
        </w:rPr>
        <w:t> </w:t>
      </w:r>
    </w:p>
    <w:p w14:paraId="53CE6531" w14:textId="77777777" w:rsidR="009E116A" w:rsidRPr="009E116A" w:rsidRDefault="009E116A" w:rsidP="009E116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E116A">
        <w:rPr>
          <w:rFonts w:ascii="Lato" w:eastAsia="Times New Roman" w:hAnsi="Lato" w:cs="Times New Roman"/>
          <w:b/>
          <w:bCs/>
          <w:color w:val="A52A2A"/>
          <w:kern w:val="0"/>
          <w:sz w:val="23"/>
          <w:szCs w:val="23"/>
          <w:lang w:eastAsia="fr-BE"/>
          <w14:ligatures w14:val="none"/>
        </w:rPr>
        <w:t>Ferro-tungstène : les cours flambent</w:t>
      </w:r>
    </w:p>
    <w:p w14:paraId="300CECE8" w14:textId="77777777" w:rsidR="009E116A" w:rsidRPr="009E116A" w:rsidRDefault="009E116A" w:rsidP="009E116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E116A">
        <w:rPr>
          <w:rFonts w:ascii="Lato" w:eastAsia="Times New Roman" w:hAnsi="Lato" w:cs="Times New Roman"/>
          <w:color w:val="000000"/>
          <w:kern w:val="0"/>
          <w:sz w:val="23"/>
          <w:szCs w:val="23"/>
          <w:lang w:eastAsia="fr-BE"/>
          <w14:ligatures w14:val="none"/>
        </w:rPr>
        <w:t>Les cours du </w:t>
      </w:r>
      <w:proofErr w:type="spellStart"/>
      <w:r w:rsidRPr="009E116A">
        <w:rPr>
          <w:rFonts w:ascii="Lato" w:eastAsia="Times New Roman" w:hAnsi="Lato" w:cs="Times New Roman"/>
          <w:color w:val="000000"/>
          <w:kern w:val="0"/>
          <w:sz w:val="23"/>
          <w:szCs w:val="23"/>
          <w:u w:val="single"/>
          <w:lang w:eastAsia="fr-BE"/>
          <w14:ligatures w14:val="none"/>
        </w:rPr>
        <w:t>ferro</w:t>
      </w:r>
      <w:proofErr w:type="spellEnd"/>
      <w:r w:rsidRPr="009E116A">
        <w:rPr>
          <w:rFonts w:ascii="Lato" w:eastAsia="Times New Roman" w:hAnsi="Lato" w:cs="Times New Roman"/>
          <w:color w:val="000000"/>
          <w:kern w:val="0"/>
          <w:sz w:val="23"/>
          <w:szCs w:val="23"/>
          <w:u w:val="single"/>
          <w:lang w:eastAsia="fr-BE"/>
          <w14:ligatures w14:val="none"/>
        </w:rPr>
        <w:t>-tungstène</w:t>
      </w:r>
      <w:r w:rsidRPr="009E116A">
        <w:rPr>
          <w:rFonts w:ascii="Lato" w:eastAsia="Times New Roman" w:hAnsi="Lato" w:cs="Times New Roman"/>
          <w:color w:val="000000"/>
          <w:kern w:val="0"/>
          <w:sz w:val="23"/>
          <w:szCs w:val="23"/>
          <w:lang w:eastAsia="fr-BE"/>
          <w14:ligatures w14:val="none"/>
        </w:rPr>
        <w:t> se sont fortement appréciés la semaine dernière en Europe, touchant un sommet historique et enregistrant la plus forte hausse quotidienne jamais atteinte. D’après des sources concordantes, l’activité entre négociants s’est montrée robuste et les offres de producteurs limitées, ce qui a dopé les cours. Les consommateurs étaient toutefois aux abonnés absents. Les cours du </w:t>
      </w:r>
      <w:proofErr w:type="spellStart"/>
      <w:r w:rsidRPr="009E116A">
        <w:rPr>
          <w:rFonts w:ascii="Lato" w:eastAsia="Times New Roman" w:hAnsi="Lato" w:cs="Times New Roman"/>
          <w:color w:val="000000"/>
          <w:kern w:val="0"/>
          <w:sz w:val="23"/>
          <w:szCs w:val="23"/>
          <w:u w:val="single"/>
          <w:lang w:eastAsia="fr-BE"/>
          <w14:ligatures w14:val="none"/>
        </w:rPr>
        <w:t>ferro</w:t>
      </w:r>
      <w:proofErr w:type="spellEnd"/>
      <w:r w:rsidRPr="009E116A">
        <w:rPr>
          <w:rFonts w:ascii="Lato" w:eastAsia="Times New Roman" w:hAnsi="Lato" w:cs="Times New Roman"/>
          <w:color w:val="000000"/>
          <w:kern w:val="0"/>
          <w:sz w:val="23"/>
          <w:szCs w:val="23"/>
          <w:u w:val="single"/>
          <w:lang w:eastAsia="fr-BE"/>
          <w14:ligatures w14:val="none"/>
        </w:rPr>
        <w:t>-tungstène</w:t>
      </w:r>
      <w:r w:rsidRPr="009E116A">
        <w:rPr>
          <w:rFonts w:ascii="Lato" w:eastAsia="Times New Roman" w:hAnsi="Lato" w:cs="Times New Roman"/>
          <w:color w:val="000000"/>
          <w:kern w:val="0"/>
          <w:sz w:val="23"/>
          <w:szCs w:val="23"/>
          <w:lang w:eastAsia="fr-BE"/>
          <w14:ligatures w14:val="none"/>
        </w:rPr>
        <w:t> </w:t>
      </w:r>
      <w:r w:rsidRPr="009E116A">
        <w:rPr>
          <w:rFonts w:ascii="Lato" w:eastAsia="Times New Roman" w:hAnsi="Lato" w:cs="Times New Roman"/>
          <w:color w:val="000000"/>
          <w:kern w:val="0"/>
          <w:sz w:val="23"/>
          <w:szCs w:val="23"/>
          <w:u w:val="single"/>
          <w:lang w:eastAsia="fr-BE"/>
          <w14:ligatures w14:val="none"/>
        </w:rPr>
        <w:t>base 75% W</w:t>
      </w:r>
      <w:r w:rsidRPr="009E116A">
        <w:rPr>
          <w:rFonts w:ascii="Lato" w:eastAsia="Times New Roman" w:hAnsi="Lato" w:cs="Times New Roman"/>
          <w:color w:val="000000"/>
          <w:kern w:val="0"/>
          <w:sz w:val="23"/>
          <w:szCs w:val="23"/>
          <w:lang w:eastAsia="fr-BE"/>
          <w14:ligatures w14:val="none"/>
        </w:rPr>
        <w:t xml:space="preserve"> (Dép. </w:t>
      </w:r>
      <w:proofErr w:type="spellStart"/>
      <w:r w:rsidRPr="009E116A">
        <w:rPr>
          <w:rFonts w:ascii="Lato" w:eastAsia="Times New Roman" w:hAnsi="Lato" w:cs="Times New Roman"/>
          <w:color w:val="000000"/>
          <w:kern w:val="0"/>
          <w:sz w:val="23"/>
          <w:szCs w:val="23"/>
          <w:lang w:eastAsia="fr-BE"/>
          <w14:ligatures w14:val="none"/>
        </w:rPr>
        <w:t>Dup</w:t>
      </w:r>
      <w:proofErr w:type="spellEnd"/>
      <w:r w:rsidRPr="009E116A">
        <w:rPr>
          <w:rFonts w:ascii="Lato" w:eastAsia="Times New Roman" w:hAnsi="Lato" w:cs="Times New Roman"/>
          <w:color w:val="000000"/>
          <w:kern w:val="0"/>
          <w:sz w:val="23"/>
          <w:szCs w:val="23"/>
          <w:lang w:eastAsia="fr-BE"/>
          <w14:ligatures w14:val="none"/>
        </w:rPr>
        <w:t> </w:t>
      </w:r>
      <w:r w:rsidRPr="009E116A">
        <w:rPr>
          <w:rFonts w:ascii="Lato" w:eastAsia="Times New Roman" w:hAnsi="Lato" w:cs="Times New Roman"/>
          <w:b/>
          <w:bCs/>
          <w:color w:val="000000"/>
          <w:kern w:val="0"/>
          <w:sz w:val="23"/>
          <w:szCs w:val="23"/>
          <w:lang w:eastAsia="fr-BE"/>
          <w14:ligatures w14:val="none"/>
        </w:rPr>
        <w:t>Rotterdam</w:t>
      </w:r>
      <w:r w:rsidRPr="009E116A">
        <w:rPr>
          <w:rFonts w:ascii="Lato" w:eastAsia="Times New Roman" w:hAnsi="Lato" w:cs="Times New Roman"/>
          <w:color w:val="000000"/>
          <w:kern w:val="0"/>
          <w:sz w:val="23"/>
          <w:szCs w:val="23"/>
          <w:lang w:eastAsia="fr-BE"/>
          <w14:ligatures w14:val="none"/>
        </w:rPr>
        <w:t>) ont ainsi bondi à 77,5-81 $/kg, contre 67-68,2 $/kg la semaine précédente. Un négociant, qui propose du métal à 85 $ pour de petits tonnages, fait état de rumeurs selon lesquelles la Chine arrêterait ses exportations de métal. Ces rumeurs courent déjà depuis plusieurs semaines, mais d’autres acteurs du marché les estiment sans fondement. La flambée des cours européens s’inscrit dans le sillage de la tendance haussière en Chine, qui reste la boussole en termes d’orientation des prix du marché mondial du </w:t>
      </w:r>
      <w:r w:rsidRPr="009E116A">
        <w:rPr>
          <w:rFonts w:ascii="Lato" w:eastAsia="Times New Roman" w:hAnsi="Lato" w:cs="Times New Roman"/>
          <w:color w:val="000000"/>
          <w:kern w:val="0"/>
          <w:sz w:val="23"/>
          <w:szCs w:val="23"/>
          <w:u w:val="single"/>
          <w:lang w:eastAsia="fr-BE"/>
          <w14:ligatures w14:val="none"/>
        </w:rPr>
        <w:t>tungstèn</w:t>
      </w:r>
      <w:r w:rsidRPr="009E116A">
        <w:rPr>
          <w:rFonts w:ascii="Lato" w:eastAsia="Times New Roman" w:hAnsi="Lato" w:cs="Times New Roman"/>
          <w:color w:val="000000"/>
          <w:kern w:val="0"/>
          <w:sz w:val="23"/>
          <w:szCs w:val="23"/>
          <w:lang w:eastAsia="fr-BE"/>
          <w14:ligatures w14:val="none"/>
        </w:rPr>
        <w:t>e. Les disponibilités sur le marché spot sont particulièrement restreintes et les producteurs ont relevé leurs offres de prix.</w:t>
      </w:r>
    </w:p>
    <w:p w14:paraId="7AE94D87" w14:textId="77777777" w:rsidR="009E116A" w:rsidRPr="009E116A" w:rsidRDefault="009E116A" w:rsidP="009E116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E116A">
        <w:rPr>
          <w:rFonts w:ascii="Lato" w:eastAsia="Times New Roman" w:hAnsi="Lato" w:cs="Times New Roman"/>
          <w:color w:val="000000"/>
          <w:kern w:val="0"/>
          <w:sz w:val="23"/>
          <w:szCs w:val="23"/>
          <w:lang w:eastAsia="fr-BE"/>
          <w14:ligatures w14:val="none"/>
        </w:rPr>
        <w:t> </w:t>
      </w:r>
    </w:p>
    <w:p w14:paraId="63503EA9" w14:textId="77777777" w:rsidR="009E116A" w:rsidRPr="009E116A" w:rsidRDefault="009E116A" w:rsidP="009E116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E116A">
        <w:rPr>
          <w:rFonts w:ascii="Lato" w:eastAsia="Times New Roman" w:hAnsi="Lato" w:cs="Times New Roman"/>
          <w:b/>
          <w:bCs/>
          <w:color w:val="A52A2A"/>
          <w:kern w:val="0"/>
          <w:sz w:val="23"/>
          <w:szCs w:val="23"/>
          <w:lang w:eastAsia="fr-BE"/>
          <w14:ligatures w14:val="none"/>
        </w:rPr>
        <w:t>Antimoine : le marché anticipe de nouvelles baisses des cours</w:t>
      </w:r>
    </w:p>
    <w:p w14:paraId="1880B4BC" w14:textId="77777777" w:rsidR="009E116A" w:rsidRPr="009E116A" w:rsidRDefault="009E116A" w:rsidP="009E116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E116A">
        <w:rPr>
          <w:rFonts w:ascii="Lato" w:eastAsia="Times New Roman" w:hAnsi="Lato" w:cs="Times New Roman"/>
          <w:color w:val="000000"/>
          <w:kern w:val="0"/>
          <w:sz w:val="23"/>
          <w:szCs w:val="23"/>
          <w:lang w:eastAsia="fr-BE"/>
          <w14:ligatures w14:val="none"/>
        </w:rPr>
        <w:t>Les cours du </w:t>
      </w:r>
      <w:r w:rsidRPr="009E116A">
        <w:rPr>
          <w:rFonts w:ascii="Lato" w:eastAsia="Times New Roman" w:hAnsi="Lato" w:cs="Times New Roman"/>
          <w:color w:val="000000"/>
          <w:kern w:val="0"/>
          <w:sz w:val="23"/>
          <w:szCs w:val="23"/>
          <w:u w:val="single"/>
          <w:lang w:eastAsia="fr-BE"/>
          <w14:ligatures w14:val="none"/>
        </w:rPr>
        <w:t>trioxyde d’antimoine</w:t>
      </w:r>
      <w:r w:rsidRPr="009E116A">
        <w:rPr>
          <w:rFonts w:ascii="Lato" w:eastAsia="Times New Roman" w:hAnsi="Lato" w:cs="Times New Roman"/>
          <w:color w:val="000000"/>
          <w:kern w:val="0"/>
          <w:sz w:val="23"/>
          <w:szCs w:val="23"/>
          <w:lang w:eastAsia="fr-BE"/>
          <w14:ligatures w14:val="none"/>
        </w:rPr>
        <w:t> (</w:t>
      </w:r>
      <w:r w:rsidRPr="009E116A">
        <w:rPr>
          <w:rFonts w:ascii="Lato" w:eastAsia="Times New Roman" w:hAnsi="Lato" w:cs="Times New Roman"/>
          <w:color w:val="000000"/>
          <w:kern w:val="0"/>
          <w:sz w:val="23"/>
          <w:szCs w:val="23"/>
          <w:u w:val="single"/>
          <w:lang w:eastAsia="fr-BE"/>
          <w14:ligatures w14:val="none"/>
        </w:rPr>
        <w:t>ATO</w:t>
      </w:r>
      <w:r w:rsidRPr="009E116A">
        <w:rPr>
          <w:rFonts w:ascii="Lato" w:eastAsia="Times New Roman" w:hAnsi="Lato" w:cs="Times New Roman"/>
          <w:color w:val="000000"/>
          <w:kern w:val="0"/>
          <w:sz w:val="23"/>
          <w:szCs w:val="23"/>
          <w:lang w:eastAsia="fr-BE"/>
          <w14:ligatures w14:val="none"/>
        </w:rPr>
        <w:t>) se sont contractés sous l’effet du ralentissement de la demande, la semaine passée. L’</w:t>
      </w:r>
      <w:r w:rsidRPr="009E116A">
        <w:rPr>
          <w:rFonts w:ascii="Lato" w:eastAsia="Times New Roman" w:hAnsi="Lato" w:cs="Times New Roman"/>
          <w:color w:val="000000"/>
          <w:kern w:val="0"/>
          <w:sz w:val="23"/>
          <w:szCs w:val="23"/>
          <w:u w:val="single"/>
          <w:lang w:eastAsia="fr-BE"/>
          <w14:ligatures w14:val="none"/>
        </w:rPr>
        <w:t>antimoine</w:t>
      </w:r>
      <w:r w:rsidRPr="009E116A">
        <w:rPr>
          <w:rFonts w:ascii="Lato" w:eastAsia="Times New Roman" w:hAnsi="Lato" w:cs="Times New Roman"/>
          <w:color w:val="000000"/>
          <w:kern w:val="0"/>
          <w:sz w:val="23"/>
          <w:szCs w:val="23"/>
          <w:lang w:eastAsia="fr-BE"/>
          <w14:ligatures w14:val="none"/>
        </w:rPr>
        <w:t> a suivi la même tendance, sur fond de demande atone et d’offre abondante. Les acheteurs se montrent agressifs dans les négociations de prix, anticipant une érosion des cours aux quatrième trimestre 2025 et premier trimestre 2026. « </w:t>
      </w:r>
      <w:r w:rsidRPr="009E116A">
        <w:rPr>
          <w:rFonts w:ascii="Lato" w:eastAsia="Times New Roman" w:hAnsi="Lato" w:cs="Times New Roman"/>
          <w:i/>
          <w:iCs/>
          <w:color w:val="000000"/>
          <w:kern w:val="0"/>
          <w:sz w:val="23"/>
          <w:szCs w:val="23"/>
          <w:lang w:eastAsia="fr-BE"/>
          <w14:ligatures w14:val="none"/>
        </w:rPr>
        <w:t>Tout le monde prévoit une baisse des cours, donc nous préférons attendre</w:t>
      </w:r>
      <w:r w:rsidRPr="009E116A">
        <w:rPr>
          <w:rFonts w:ascii="Lato" w:eastAsia="Times New Roman" w:hAnsi="Lato" w:cs="Times New Roman"/>
          <w:color w:val="000000"/>
          <w:kern w:val="0"/>
          <w:sz w:val="23"/>
          <w:szCs w:val="23"/>
          <w:lang w:eastAsia="fr-BE"/>
          <w14:ligatures w14:val="none"/>
        </w:rPr>
        <w:t> », explique un acheteur. Plusieurs négociants ont concédé n’avoir conclu aucune transaction la semaine passée. « </w:t>
      </w:r>
      <w:r w:rsidRPr="009E116A">
        <w:rPr>
          <w:rFonts w:ascii="Lato" w:eastAsia="Times New Roman" w:hAnsi="Lato" w:cs="Times New Roman"/>
          <w:i/>
          <w:iCs/>
          <w:color w:val="000000"/>
          <w:kern w:val="0"/>
          <w:sz w:val="23"/>
          <w:szCs w:val="23"/>
          <w:lang w:eastAsia="fr-BE"/>
          <w14:ligatures w14:val="none"/>
        </w:rPr>
        <w:t>Personne n’achète, ils se contentent de surveiller l’évolution des cours </w:t>
      </w:r>
      <w:r w:rsidRPr="009E116A">
        <w:rPr>
          <w:rFonts w:ascii="Lato" w:eastAsia="Times New Roman" w:hAnsi="Lato" w:cs="Times New Roman"/>
          <w:color w:val="000000"/>
          <w:kern w:val="0"/>
          <w:sz w:val="23"/>
          <w:szCs w:val="23"/>
          <w:lang w:eastAsia="fr-BE"/>
          <w14:ligatures w14:val="none"/>
        </w:rPr>
        <w:t>», constate un négociant, qui choisit donc de prioriser les contrats à long terme.</w:t>
      </w:r>
    </w:p>
    <w:p w14:paraId="1CA253E2" w14:textId="77777777" w:rsidR="009E116A" w:rsidRPr="009E116A" w:rsidRDefault="009E116A" w:rsidP="009E116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E116A">
        <w:rPr>
          <w:rFonts w:ascii="Lato" w:eastAsia="Times New Roman" w:hAnsi="Lato" w:cs="Times New Roman"/>
          <w:color w:val="000000"/>
          <w:kern w:val="0"/>
          <w:sz w:val="23"/>
          <w:szCs w:val="23"/>
          <w:lang w:eastAsia="fr-BE"/>
          <w14:ligatures w14:val="none"/>
        </w:rPr>
        <w:t> </w:t>
      </w:r>
    </w:p>
    <w:p w14:paraId="1A78D8CD" w14:textId="77777777" w:rsidR="009E116A" w:rsidRPr="009E116A" w:rsidRDefault="009E116A" w:rsidP="009E116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E116A">
        <w:rPr>
          <w:rFonts w:ascii="Lato" w:eastAsia="Times New Roman" w:hAnsi="Lato" w:cs="Times New Roman"/>
          <w:b/>
          <w:bCs/>
          <w:color w:val="A52A2A"/>
          <w:kern w:val="0"/>
          <w:sz w:val="23"/>
          <w:szCs w:val="23"/>
          <w:lang w:eastAsia="fr-BE"/>
          <w14:ligatures w14:val="none"/>
        </w:rPr>
        <w:t>Cobalt : les cours grimpent dans un marché dans l’expectative</w:t>
      </w:r>
    </w:p>
    <w:p w14:paraId="2921DFD4" w14:textId="77777777" w:rsidR="009E116A" w:rsidRPr="009E116A" w:rsidRDefault="009E116A" w:rsidP="009E116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E116A">
        <w:rPr>
          <w:rFonts w:ascii="Lato" w:eastAsia="Times New Roman" w:hAnsi="Lato" w:cs="Times New Roman"/>
          <w:color w:val="000000"/>
          <w:kern w:val="0"/>
          <w:sz w:val="23"/>
          <w:szCs w:val="23"/>
          <w:lang w:eastAsia="fr-BE"/>
          <w14:ligatures w14:val="none"/>
        </w:rPr>
        <w:t>Après s’être montrés stables durant le mois d’août, les cours du </w:t>
      </w:r>
      <w:r w:rsidRPr="009E116A">
        <w:rPr>
          <w:rFonts w:ascii="Lato" w:eastAsia="Times New Roman" w:hAnsi="Lato" w:cs="Times New Roman"/>
          <w:color w:val="000000"/>
          <w:kern w:val="0"/>
          <w:sz w:val="23"/>
          <w:szCs w:val="23"/>
          <w:u w:val="single"/>
          <w:lang w:eastAsia="fr-BE"/>
          <w14:ligatures w14:val="none"/>
        </w:rPr>
        <w:t>cobalt</w:t>
      </w:r>
      <w:r w:rsidRPr="009E116A">
        <w:rPr>
          <w:rFonts w:ascii="Lato" w:eastAsia="Times New Roman" w:hAnsi="Lato" w:cs="Times New Roman"/>
          <w:color w:val="000000"/>
          <w:kern w:val="0"/>
          <w:sz w:val="23"/>
          <w:szCs w:val="23"/>
          <w:lang w:eastAsia="fr-BE"/>
          <w14:ligatures w14:val="none"/>
        </w:rPr>
        <w:t> se sont renforcés ces derniers jours, une tendance qui découle de plusieurs facteurs. L’embargo sur les exportations au départ de la République démocratique du Congo va prendre fin dans moins de trois semaines. La date est fixée au 22 septembre, et les acteurs du marché indiquent ne pas avoir d’informations sur ce qu’il adviendra par la suite. Avant l’extension de l’interdiction d’exporter, en juin, les consommateurs chinois avaient estimé que les niveaux de stocks d’</w:t>
      </w:r>
      <w:r w:rsidRPr="009E116A">
        <w:rPr>
          <w:rFonts w:ascii="Lato" w:eastAsia="Times New Roman" w:hAnsi="Lato" w:cs="Times New Roman"/>
          <w:color w:val="000000"/>
          <w:kern w:val="0"/>
          <w:sz w:val="23"/>
          <w:szCs w:val="23"/>
          <w:u w:val="single"/>
          <w:lang w:eastAsia="fr-BE"/>
          <w14:ligatures w14:val="none"/>
        </w:rPr>
        <w:t>hydroxyde</w:t>
      </w:r>
      <w:r w:rsidRPr="009E116A">
        <w:rPr>
          <w:rFonts w:ascii="Lato" w:eastAsia="Times New Roman" w:hAnsi="Lato" w:cs="Times New Roman"/>
          <w:color w:val="000000"/>
          <w:kern w:val="0"/>
          <w:sz w:val="23"/>
          <w:szCs w:val="23"/>
          <w:lang w:eastAsia="fr-BE"/>
          <w14:ligatures w14:val="none"/>
        </w:rPr>
        <w:t> du pays atteindraient des niveaux critiques en septembre ou octobre. « </w:t>
      </w:r>
      <w:r w:rsidRPr="009E116A">
        <w:rPr>
          <w:rFonts w:ascii="Lato" w:eastAsia="Times New Roman" w:hAnsi="Lato" w:cs="Times New Roman"/>
          <w:i/>
          <w:iCs/>
          <w:color w:val="000000"/>
          <w:kern w:val="0"/>
          <w:sz w:val="23"/>
          <w:szCs w:val="23"/>
          <w:lang w:eastAsia="fr-BE"/>
          <w14:ligatures w14:val="none"/>
        </w:rPr>
        <w:t>Les stocks seront très tendus fin septembre. Si l’embargo devait être prolongé une nouvelle fois, alors s’approvisionner deviendrait très compliqué parce que les vendeurs réclament des prix élevés </w:t>
      </w:r>
      <w:r w:rsidRPr="009E116A">
        <w:rPr>
          <w:rFonts w:ascii="Lato" w:eastAsia="Times New Roman" w:hAnsi="Lato" w:cs="Times New Roman"/>
          <w:color w:val="000000"/>
          <w:kern w:val="0"/>
          <w:sz w:val="23"/>
          <w:szCs w:val="23"/>
          <w:lang w:eastAsia="fr-BE"/>
          <w14:ligatures w14:val="none"/>
        </w:rPr>
        <w:t xml:space="preserve">», souligne un consommateur. Certains opérateurs sont d’avis que l’embargo va effectivement être reconduit, dans la mesure où les cours n’ont pas progressé de manière significative depuis juin, alors que c’était l’objectif principal de la mesure. En outre, la </w:t>
      </w:r>
      <w:proofErr w:type="spellStart"/>
      <w:r w:rsidRPr="009E116A">
        <w:rPr>
          <w:rFonts w:ascii="Lato" w:eastAsia="Times New Roman" w:hAnsi="Lato" w:cs="Times New Roman"/>
          <w:color w:val="000000"/>
          <w:kern w:val="0"/>
          <w:sz w:val="23"/>
          <w:szCs w:val="23"/>
          <w:lang w:eastAsia="fr-BE"/>
          <w14:ligatures w14:val="none"/>
        </w:rPr>
        <w:t>Defense</w:t>
      </w:r>
      <w:proofErr w:type="spellEnd"/>
      <w:r w:rsidRPr="009E116A">
        <w:rPr>
          <w:rFonts w:ascii="Lato" w:eastAsia="Times New Roman" w:hAnsi="Lato" w:cs="Times New Roman"/>
          <w:color w:val="000000"/>
          <w:kern w:val="0"/>
          <w:sz w:val="23"/>
          <w:szCs w:val="23"/>
          <w:lang w:eastAsia="fr-BE"/>
          <w14:ligatures w14:val="none"/>
        </w:rPr>
        <w:t xml:space="preserve"> </w:t>
      </w:r>
      <w:proofErr w:type="spellStart"/>
      <w:r w:rsidRPr="009E116A">
        <w:rPr>
          <w:rFonts w:ascii="Lato" w:eastAsia="Times New Roman" w:hAnsi="Lato" w:cs="Times New Roman"/>
          <w:color w:val="000000"/>
          <w:kern w:val="0"/>
          <w:sz w:val="23"/>
          <w:szCs w:val="23"/>
          <w:lang w:eastAsia="fr-BE"/>
          <w14:ligatures w14:val="none"/>
        </w:rPr>
        <w:t>Logistics</w:t>
      </w:r>
      <w:proofErr w:type="spellEnd"/>
      <w:r w:rsidRPr="009E116A">
        <w:rPr>
          <w:rFonts w:ascii="Lato" w:eastAsia="Times New Roman" w:hAnsi="Lato" w:cs="Times New Roman"/>
          <w:color w:val="000000"/>
          <w:kern w:val="0"/>
          <w:sz w:val="23"/>
          <w:szCs w:val="23"/>
          <w:lang w:eastAsia="fr-BE"/>
          <w14:ligatures w14:val="none"/>
        </w:rPr>
        <w:t xml:space="preserve"> Agency, agence du département de la Défense américaine chargée de la logistique militaire, a publié un appel d’offre pour la fourniture de 7 500 tonnes de </w:t>
      </w:r>
      <w:r w:rsidRPr="009E116A">
        <w:rPr>
          <w:rFonts w:ascii="Lato" w:eastAsia="Times New Roman" w:hAnsi="Lato" w:cs="Times New Roman"/>
          <w:color w:val="000000"/>
          <w:kern w:val="0"/>
          <w:sz w:val="23"/>
          <w:szCs w:val="23"/>
          <w:u w:val="single"/>
          <w:lang w:eastAsia="fr-BE"/>
          <w14:ligatures w14:val="none"/>
        </w:rPr>
        <w:t>cobalt qualité alliage</w:t>
      </w:r>
      <w:r w:rsidRPr="009E116A">
        <w:rPr>
          <w:rFonts w:ascii="Lato" w:eastAsia="Times New Roman" w:hAnsi="Lato" w:cs="Times New Roman"/>
          <w:color w:val="000000"/>
          <w:kern w:val="0"/>
          <w:sz w:val="23"/>
          <w:szCs w:val="23"/>
          <w:lang w:eastAsia="fr-BE"/>
          <w14:ligatures w14:val="none"/>
        </w:rPr>
        <w:t xml:space="preserve">, sur </w:t>
      </w:r>
      <w:r w:rsidRPr="009E116A">
        <w:rPr>
          <w:rFonts w:ascii="Lato" w:eastAsia="Times New Roman" w:hAnsi="Lato" w:cs="Times New Roman"/>
          <w:color w:val="000000"/>
          <w:kern w:val="0"/>
          <w:sz w:val="23"/>
          <w:szCs w:val="23"/>
          <w:lang w:eastAsia="fr-BE"/>
          <w14:ligatures w14:val="none"/>
        </w:rPr>
        <w:lastRenderedPageBreak/>
        <w:t>une période de cinq ans. Les offres peuvent être soumises jusqu’au 11 septembre. Les cours du métal </w:t>
      </w:r>
      <w:r w:rsidRPr="009E116A">
        <w:rPr>
          <w:rFonts w:ascii="Lato" w:eastAsia="Times New Roman" w:hAnsi="Lato" w:cs="Times New Roman"/>
          <w:color w:val="000000"/>
          <w:kern w:val="0"/>
          <w:sz w:val="23"/>
          <w:szCs w:val="23"/>
          <w:u w:val="single"/>
          <w:lang w:eastAsia="fr-BE"/>
          <w14:ligatures w14:val="none"/>
        </w:rPr>
        <w:t>qualité standard</w:t>
      </w:r>
      <w:r w:rsidRPr="009E116A">
        <w:rPr>
          <w:rFonts w:ascii="Lato" w:eastAsia="Times New Roman" w:hAnsi="Lato" w:cs="Times New Roman"/>
          <w:color w:val="000000"/>
          <w:kern w:val="0"/>
          <w:sz w:val="23"/>
          <w:szCs w:val="23"/>
          <w:lang w:eastAsia="fr-BE"/>
          <w14:ligatures w14:val="none"/>
        </w:rPr>
        <w:t> ont suivi la même tendance - stables en août avant de progresser en septembre.</w:t>
      </w:r>
    </w:p>
    <w:p w14:paraId="6BB94D0E" w14:textId="58A8889B" w:rsidR="00287462" w:rsidRPr="009E116A" w:rsidRDefault="00287462" w:rsidP="009E116A">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p>
    <w:sectPr w:rsidR="00287462" w:rsidRPr="009E11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16A"/>
    <w:rsid w:val="00287462"/>
    <w:rsid w:val="009E116A"/>
    <w:rsid w:val="00D258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DA67"/>
  <w15:chartTrackingRefBased/>
  <w15:docId w15:val="{8A3196D4-D3EE-454C-8F55-8CD604FB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E11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E11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E116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E116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E116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E116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E116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E116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E116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116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E116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E116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E116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E116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E116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E116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E116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E116A"/>
    <w:rPr>
      <w:rFonts w:eastAsiaTheme="majorEastAsia" w:cstheme="majorBidi"/>
      <w:color w:val="272727" w:themeColor="text1" w:themeTint="D8"/>
    </w:rPr>
  </w:style>
  <w:style w:type="paragraph" w:styleId="Titre">
    <w:name w:val="Title"/>
    <w:basedOn w:val="Normal"/>
    <w:next w:val="Normal"/>
    <w:link w:val="TitreCar"/>
    <w:uiPriority w:val="10"/>
    <w:qFormat/>
    <w:rsid w:val="009E11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E116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E116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E116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E116A"/>
    <w:pPr>
      <w:spacing w:before="160"/>
      <w:jc w:val="center"/>
    </w:pPr>
    <w:rPr>
      <w:i/>
      <w:iCs/>
      <w:color w:val="404040" w:themeColor="text1" w:themeTint="BF"/>
    </w:rPr>
  </w:style>
  <w:style w:type="character" w:customStyle="1" w:styleId="CitationCar">
    <w:name w:val="Citation Car"/>
    <w:basedOn w:val="Policepardfaut"/>
    <w:link w:val="Citation"/>
    <w:uiPriority w:val="29"/>
    <w:rsid w:val="009E116A"/>
    <w:rPr>
      <w:i/>
      <w:iCs/>
      <w:color w:val="404040" w:themeColor="text1" w:themeTint="BF"/>
    </w:rPr>
  </w:style>
  <w:style w:type="paragraph" w:styleId="Paragraphedeliste">
    <w:name w:val="List Paragraph"/>
    <w:basedOn w:val="Normal"/>
    <w:uiPriority w:val="34"/>
    <w:qFormat/>
    <w:rsid w:val="009E116A"/>
    <w:pPr>
      <w:ind w:left="720"/>
      <w:contextualSpacing/>
    </w:pPr>
  </w:style>
  <w:style w:type="character" w:styleId="Accentuationintense">
    <w:name w:val="Intense Emphasis"/>
    <w:basedOn w:val="Policepardfaut"/>
    <w:uiPriority w:val="21"/>
    <w:qFormat/>
    <w:rsid w:val="009E116A"/>
    <w:rPr>
      <w:i/>
      <w:iCs/>
      <w:color w:val="0F4761" w:themeColor="accent1" w:themeShade="BF"/>
    </w:rPr>
  </w:style>
  <w:style w:type="paragraph" w:styleId="Citationintense">
    <w:name w:val="Intense Quote"/>
    <w:basedOn w:val="Normal"/>
    <w:next w:val="Normal"/>
    <w:link w:val="CitationintenseCar"/>
    <w:uiPriority w:val="30"/>
    <w:qFormat/>
    <w:rsid w:val="009E1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E116A"/>
    <w:rPr>
      <w:i/>
      <w:iCs/>
      <w:color w:val="0F4761" w:themeColor="accent1" w:themeShade="BF"/>
    </w:rPr>
  </w:style>
  <w:style w:type="character" w:styleId="Rfrenceintense">
    <w:name w:val="Intense Reference"/>
    <w:basedOn w:val="Policepardfaut"/>
    <w:uiPriority w:val="32"/>
    <w:qFormat/>
    <w:rsid w:val="009E11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3132</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2025-09-09T05:12:00Z</dcterms:created>
  <dcterms:modified xsi:type="dcterms:W3CDTF">2025-09-09T05:14:00Z</dcterms:modified>
</cp:coreProperties>
</file>